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875530" w:rsidRDefault="00B72322" w:rsidP="00B72322">
      <w:pPr>
        <w:spacing w:before="240" w:after="240" w:line="360" w:lineRule="auto"/>
        <w:jc w:val="right"/>
        <w:rPr>
          <w:rFonts w:ascii="Palatino Linotype" w:hAnsi="Palatino Linotype"/>
          <w:b/>
          <w:sz w:val="24"/>
          <w:szCs w:val="24"/>
        </w:rPr>
      </w:pPr>
      <w:bookmarkStart w:id="0" w:name="_GoBack"/>
      <w:bookmarkEnd w:id="0"/>
      <w:r w:rsidRPr="00875530">
        <w:rPr>
          <w:rFonts w:ascii="Palatino Linotype" w:hAnsi="Palatino Linotype"/>
          <w:b/>
          <w:sz w:val="24"/>
          <w:szCs w:val="24"/>
        </w:rPr>
        <w:t>Metepec, México, en la sede del INFOEM</w:t>
      </w:r>
    </w:p>
    <w:p w:rsidR="00B72322" w:rsidRPr="00875530" w:rsidRDefault="00F629BE"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Febrero 05 de 2019</w:t>
      </w:r>
    </w:p>
    <w:p w:rsidR="00B72322" w:rsidRPr="00875530" w:rsidRDefault="00B72322" w:rsidP="00B72322">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51987" w:rsidRPr="00875530">
        <w:rPr>
          <w:rFonts w:ascii="Palatino Linotype" w:hAnsi="Palatino Linotype"/>
          <w:b/>
          <w:sz w:val="24"/>
          <w:szCs w:val="24"/>
        </w:rPr>
        <w:t xml:space="preserve">VOTO PARTICULAR CONCURRENTE QUE FORMULAN EL COMISIONADO </w:t>
      </w:r>
      <w:r w:rsidR="00F629BE">
        <w:rPr>
          <w:rFonts w:ascii="Palatino Linotype" w:hAnsi="Palatino Linotype"/>
          <w:b/>
          <w:sz w:val="24"/>
          <w:szCs w:val="24"/>
        </w:rPr>
        <w:t>LUIS GUSTAVO PARRA NORIEGA</w:t>
      </w:r>
      <w:r w:rsidR="00F629BE" w:rsidRPr="00875530">
        <w:rPr>
          <w:rFonts w:ascii="Palatino Linotype" w:hAnsi="Palatino Linotype"/>
          <w:b/>
          <w:sz w:val="24"/>
          <w:szCs w:val="24"/>
        </w:rPr>
        <w:t xml:space="preserve"> </w:t>
      </w:r>
      <w:r w:rsidR="00551987" w:rsidRPr="00875530">
        <w:rPr>
          <w:rFonts w:ascii="Palatino Linotype" w:hAnsi="Palatino Linotype"/>
          <w:b/>
          <w:sz w:val="24"/>
          <w:szCs w:val="24"/>
        </w:rPr>
        <w:t>Y EL COMISIONADO JAVIER MARTÍNEZ CRUZ, EN RELACIÓN CON LA RESOLUCIÓN DICTADA POR EL PLENO DEL INSTITUTO DE TRANSPARENCIA, ACCESO A LA INFORMACIÓN PÚBLICA Y PROTECCIÓN DE DATOS PERSONALES DEL ESTADO DE MÉXICO Y M</w:t>
      </w:r>
      <w:r w:rsidR="00F629BE">
        <w:rPr>
          <w:rFonts w:ascii="Palatino Linotype" w:hAnsi="Palatino Linotype"/>
          <w:b/>
          <w:sz w:val="24"/>
          <w:szCs w:val="24"/>
        </w:rPr>
        <w:t>UNICIPIOS, EN LA CUARTA</w:t>
      </w:r>
      <w:r w:rsidR="009934C0">
        <w:rPr>
          <w:rFonts w:ascii="Palatino Linotype" w:hAnsi="Palatino Linotype"/>
          <w:b/>
          <w:sz w:val="24"/>
          <w:szCs w:val="24"/>
        </w:rPr>
        <w:t xml:space="preserve"> </w:t>
      </w:r>
      <w:r w:rsidR="00551987" w:rsidRPr="00875530">
        <w:rPr>
          <w:rFonts w:ascii="Palatino Linotype" w:hAnsi="Palatino Linotype"/>
          <w:b/>
          <w:sz w:val="24"/>
          <w:szCs w:val="24"/>
        </w:rPr>
        <w:t>SES</w:t>
      </w:r>
      <w:r w:rsidR="00F629BE">
        <w:rPr>
          <w:rFonts w:ascii="Palatino Linotype" w:hAnsi="Palatino Linotype"/>
          <w:b/>
          <w:sz w:val="24"/>
          <w:szCs w:val="24"/>
        </w:rPr>
        <w:t>IÓN ORD</w:t>
      </w:r>
      <w:r w:rsidR="00284B9B">
        <w:rPr>
          <w:rFonts w:ascii="Palatino Linotype" w:hAnsi="Palatino Linotype"/>
          <w:b/>
          <w:sz w:val="24"/>
          <w:szCs w:val="24"/>
        </w:rPr>
        <w:t>INARIA DEL TREINTA DE ENERO</w:t>
      </w:r>
      <w:r w:rsidR="00F629BE" w:rsidRPr="00875530">
        <w:rPr>
          <w:rFonts w:ascii="Palatino Linotype" w:hAnsi="Palatino Linotype"/>
          <w:b/>
          <w:sz w:val="24"/>
          <w:szCs w:val="24"/>
        </w:rPr>
        <w:t xml:space="preserve"> DE DOS </w:t>
      </w:r>
      <w:r w:rsidR="00284B9B">
        <w:rPr>
          <w:rFonts w:ascii="Palatino Linotype" w:hAnsi="Palatino Linotype"/>
          <w:b/>
          <w:sz w:val="24"/>
          <w:szCs w:val="24"/>
        </w:rPr>
        <w:t>MIL DIECINUEVE</w:t>
      </w:r>
      <w:r w:rsidR="00551987" w:rsidRPr="00875530">
        <w:rPr>
          <w:rFonts w:ascii="Palatino Linotype" w:hAnsi="Palatino Linotype"/>
          <w:b/>
          <w:sz w:val="24"/>
          <w:szCs w:val="24"/>
        </w:rPr>
        <w:t xml:space="preserve">, EN EL RECURSO DE REVISIÓN </w:t>
      </w:r>
      <w:r w:rsidR="00F629BE">
        <w:rPr>
          <w:rFonts w:ascii="Palatino Linotype" w:hAnsi="Palatino Linotype"/>
          <w:b/>
          <w:bCs/>
          <w:sz w:val="24"/>
          <w:szCs w:val="24"/>
        </w:rPr>
        <w:t>04492</w:t>
      </w:r>
      <w:r w:rsidR="00551987" w:rsidRPr="00875530">
        <w:rPr>
          <w:rFonts w:ascii="Palatino Linotype" w:hAnsi="Palatino Linotype"/>
          <w:b/>
          <w:bCs/>
          <w:sz w:val="24"/>
          <w:szCs w:val="24"/>
        </w:rPr>
        <w:t>/INFOEM/IP/RR/</w:t>
      </w:r>
      <w:r w:rsidR="00551987" w:rsidRPr="009934C0">
        <w:rPr>
          <w:rFonts w:ascii="Palatino Linotype" w:hAnsi="Palatino Linotype"/>
          <w:b/>
          <w:sz w:val="24"/>
          <w:szCs w:val="24"/>
        </w:rPr>
        <w:t>2018</w:t>
      </w:r>
      <w:r w:rsidR="009934C0" w:rsidRPr="009934C0">
        <w:rPr>
          <w:rFonts w:ascii="Palatino Linotype" w:hAnsi="Palatino Linotype"/>
          <w:b/>
          <w:sz w:val="24"/>
          <w:szCs w:val="24"/>
        </w:rPr>
        <w:t>.</w:t>
      </w:r>
    </w:p>
    <w:p w:rsidR="00551987" w:rsidRPr="004C6137" w:rsidRDefault="00B72322" w:rsidP="00551987">
      <w:pPr>
        <w:spacing w:before="240" w:after="240" w:line="360" w:lineRule="auto"/>
        <w:jc w:val="both"/>
        <w:rPr>
          <w:rFonts w:ascii="Palatino Linotype" w:hAnsi="Palatino Linotype"/>
        </w:rPr>
      </w:pPr>
      <w:r w:rsidRPr="004C6137">
        <w:rPr>
          <w:rFonts w:ascii="Palatino Linotype" w:hAnsi="Palatino Linotype"/>
        </w:rPr>
        <w:t>El Pleno del Instituto de Transparencia, Acceso a la Información Pública y Protección de Datos Personales del Estado de México resolvió por unanimidad de voto</w:t>
      </w:r>
      <w:r w:rsidR="007B3391" w:rsidRPr="004C6137">
        <w:rPr>
          <w:rFonts w:ascii="Palatino Linotype" w:hAnsi="Palatino Linotype"/>
        </w:rPr>
        <w:t>s,</w:t>
      </w:r>
      <w:r w:rsidR="0043077C" w:rsidRPr="004C6137">
        <w:rPr>
          <w:rFonts w:ascii="Palatino Linotype" w:hAnsi="Palatino Linotype"/>
        </w:rPr>
        <w:t xml:space="preserve"> la resolución relativa al</w:t>
      </w:r>
      <w:r w:rsidRPr="004C6137">
        <w:rPr>
          <w:rFonts w:ascii="Palatino Linotype" w:hAnsi="Palatino Linotype"/>
        </w:rPr>
        <w:t xml:space="preserve"> recurso de revisión </w:t>
      </w:r>
      <w:r w:rsidR="009041D9" w:rsidRPr="004C6137">
        <w:rPr>
          <w:rFonts w:ascii="Palatino Linotype" w:hAnsi="Palatino Linotype" w:cs="Arial"/>
          <w:bCs/>
          <w:lang w:eastAsia="es-MX"/>
        </w:rPr>
        <w:t>04492</w:t>
      </w:r>
      <w:r w:rsidR="007B3391" w:rsidRPr="004C6137">
        <w:rPr>
          <w:rFonts w:ascii="Palatino Linotype" w:hAnsi="Palatino Linotype" w:cs="Arial"/>
          <w:bCs/>
          <w:lang w:eastAsia="es-MX"/>
        </w:rPr>
        <w:t>/INFOEM/IP/RR/2018</w:t>
      </w:r>
      <w:r w:rsidRPr="004C6137">
        <w:rPr>
          <w:rFonts w:ascii="Palatino Linotype" w:hAnsi="Palatino Linotype" w:cs="Arial"/>
          <w:bCs/>
          <w:lang w:eastAsia="es-MX"/>
        </w:rPr>
        <w:t xml:space="preserve"> </w:t>
      </w:r>
      <w:r w:rsidRPr="004C6137">
        <w:rPr>
          <w:rFonts w:ascii="Palatino Linotype" w:hAnsi="Palatino Linotype"/>
        </w:rPr>
        <w:t xml:space="preserve">presentada por </w:t>
      </w:r>
      <w:r w:rsidR="00A5140D" w:rsidRPr="004C6137">
        <w:rPr>
          <w:rFonts w:ascii="Palatino Linotype" w:hAnsi="Palatino Linotype"/>
        </w:rPr>
        <w:t>la Comisionada</w:t>
      </w:r>
      <w:r w:rsidRPr="004C6137">
        <w:rPr>
          <w:rFonts w:ascii="Palatino Linotype" w:hAnsi="Palatino Linotype"/>
        </w:rPr>
        <w:t xml:space="preserve"> </w:t>
      </w:r>
      <w:r w:rsidR="00D700B0" w:rsidRPr="004C6137">
        <w:rPr>
          <w:rFonts w:ascii="Palatino Linotype" w:hAnsi="Palatino Linotype"/>
        </w:rPr>
        <w:t>Eva Abaid Yapur</w:t>
      </w:r>
      <w:r w:rsidRPr="004C6137">
        <w:rPr>
          <w:rFonts w:ascii="Palatino Linotype" w:hAnsi="Palatino Linotype"/>
        </w:rPr>
        <w:t xml:space="preserve">, </w:t>
      </w:r>
      <w:r w:rsidR="00551987" w:rsidRPr="004C6137">
        <w:rPr>
          <w:rFonts w:ascii="Palatino Linotype" w:hAnsi="Palatino Linotype"/>
        </w:rPr>
        <w:t xml:space="preserve">respecto de la cual, el Comisionado </w:t>
      </w:r>
      <w:r w:rsidR="009041D9" w:rsidRPr="004C6137">
        <w:rPr>
          <w:rFonts w:ascii="Palatino Linotype" w:hAnsi="Palatino Linotype"/>
        </w:rPr>
        <w:t>Luis Gustavo Parra Noriega</w:t>
      </w:r>
      <w:r w:rsidR="00551987" w:rsidRPr="004C6137">
        <w:rPr>
          <w:rFonts w:ascii="Palatino Linotype" w:hAnsi="Palatino Linotype"/>
        </w:rPr>
        <w:t xml:space="preserve"> y el Comisionado Javier Martínez Cruz, formulan </w:t>
      </w:r>
      <w:r w:rsidR="00551987" w:rsidRPr="004C6137">
        <w:rPr>
          <w:rFonts w:ascii="Palatino Linotype" w:hAnsi="Palatino Linotype"/>
          <w:b/>
        </w:rPr>
        <w:t>VOTO PARTICULAR CONCURRENTE</w:t>
      </w:r>
      <w:r w:rsidR="00551987" w:rsidRPr="004C6137">
        <w:rPr>
          <w:rFonts w:ascii="Palatino Linotype" w:hAnsi="Palatino Linotype"/>
        </w:rPr>
        <w:t>, con fundamento en el artículo 14 fracción XI del Reglamento del Instituto de Transparencia, Acceso a la Información Pública y Protección de Personales Datos del Estado de México.</w:t>
      </w:r>
    </w:p>
    <w:p w:rsidR="00D75ED1" w:rsidRPr="004C6137" w:rsidRDefault="00B72322" w:rsidP="00B72322">
      <w:pPr>
        <w:spacing w:before="240" w:after="240" w:line="360" w:lineRule="auto"/>
        <w:jc w:val="both"/>
        <w:rPr>
          <w:rFonts w:ascii="Palatino Linotype" w:hAnsi="Palatino Linotype"/>
        </w:rPr>
      </w:pPr>
      <w:r w:rsidRPr="004C6137">
        <w:rPr>
          <w:rFonts w:ascii="Palatino Linotype" w:hAnsi="Palatino Linotype"/>
        </w:rPr>
        <w:t>De manera previa a la emisión del presente voto, cabe precisar</w:t>
      </w:r>
      <w:r w:rsidR="009B5C84" w:rsidRPr="004C6137">
        <w:rPr>
          <w:rFonts w:ascii="Palatino Linotype" w:hAnsi="Palatino Linotype"/>
        </w:rPr>
        <w:t xml:space="preserve"> que la materia en que radicó el recurso</w:t>
      </w:r>
      <w:r w:rsidR="003D235F" w:rsidRPr="004C6137">
        <w:rPr>
          <w:rFonts w:ascii="Palatino Linotype" w:hAnsi="Palatino Linotype"/>
        </w:rPr>
        <w:t xml:space="preserve"> de revisión, </w:t>
      </w:r>
      <w:r w:rsidR="00E275D9" w:rsidRPr="004C6137">
        <w:rPr>
          <w:rFonts w:ascii="Palatino Linotype" w:hAnsi="Palatino Linotype"/>
        </w:rPr>
        <w:t>f</w:t>
      </w:r>
      <w:r w:rsidR="003D235F" w:rsidRPr="004C6137">
        <w:rPr>
          <w:rFonts w:ascii="Palatino Linotype" w:hAnsi="Palatino Linotype"/>
        </w:rPr>
        <w:t xml:space="preserve">ue </w:t>
      </w:r>
      <w:r w:rsidR="00E275D9" w:rsidRPr="004C6137">
        <w:rPr>
          <w:rFonts w:ascii="Palatino Linotype" w:hAnsi="Palatino Linotype"/>
        </w:rPr>
        <w:t>lo relativo a la “</w:t>
      </w:r>
      <w:r w:rsidR="00E275D9" w:rsidRPr="004C6137">
        <w:rPr>
          <w:rFonts w:ascii="Palatino Linotype" w:hAnsi="Palatino Linotype"/>
          <w:i/>
        </w:rPr>
        <w:t xml:space="preserve">Relación de documentos firmados por la </w:t>
      </w:r>
      <w:proofErr w:type="spellStart"/>
      <w:r w:rsidR="00E275D9" w:rsidRPr="004C6137">
        <w:rPr>
          <w:rFonts w:ascii="Palatino Linotype" w:hAnsi="Palatino Linotype"/>
          <w:i/>
        </w:rPr>
        <w:t>Sra</w:t>
      </w:r>
      <w:proofErr w:type="spellEnd"/>
      <w:r w:rsidR="00E275D9" w:rsidRPr="004C6137">
        <w:rPr>
          <w:rFonts w:ascii="Palatino Linotype" w:hAnsi="Palatino Linotype"/>
          <w:i/>
        </w:rPr>
        <w:t xml:space="preserve"> </w:t>
      </w:r>
      <w:proofErr w:type="spellStart"/>
      <w:r w:rsidR="00E275D9" w:rsidRPr="004C6137">
        <w:rPr>
          <w:rFonts w:ascii="Palatino Linotype" w:hAnsi="Palatino Linotype"/>
          <w:i/>
        </w:rPr>
        <w:t>Manzur</w:t>
      </w:r>
      <w:proofErr w:type="spellEnd"/>
      <w:r w:rsidR="00E275D9" w:rsidRPr="004C6137">
        <w:rPr>
          <w:rFonts w:ascii="Palatino Linotype" w:hAnsi="Palatino Linotype"/>
          <w:i/>
        </w:rPr>
        <w:t xml:space="preserve"> "</w:t>
      </w:r>
      <w:proofErr w:type="spellStart"/>
      <w:r w:rsidR="00E275D9" w:rsidRPr="004C6137">
        <w:rPr>
          <w:rFonts w:ascii="Palatino Linotype" w:hAnsi="Palatino Linotype"/>
          <w:i/>
        </w:rPr>
        <w:t>kitty</w:t>
      </w:r>
      <w:proofErr w:type="spellEnd"/>
      <w:r w:rsidR="00E275D9" w:rsidRPr="004C6137">
        <w:rPr>
          <w:rFonts w:ascii="Palatino Linotype" w:hAnsi="Palatino Linotype"/>
          <w:i/>
        </w:rPr>
        <w:t>" durante su gestión, sean oficios, nombramientos o algo similar</w:t>
      </w:r>
      <w:r w:rsidR="00E275D9" w:rsidRPr="004C6137">
        <w:rPr>
          <w:rFonts w:ascii="Palatino Linotype" w:hAnsi="Palatino Linotype"/>
        </w:rPr>
        <w:t>”</w:t>
      </w:r>
      <w:r w:rsidR="009B5C84" w:rsidRPr="004C6137">
        <w:rPr>
          <w:rFonts w:ascii="Palatino Linotype" w:hAnsi="Palatino Linotype"/>
        </w:rPr>
        <w:t xml:space="preserve"> </w:t>
      </w:r>
      <w:r w:rsidR="00551987" w:rsidRPr="004C6137">
        <w:rPr>
          <w:rFonts w:ascii="Palatino Linotype" w:hAnsi="Palatino Linotype"/>
        </w:rPr>
        <w:t>de la Universidad Politécnica del Valle de Toluca</w:t>
      </w:r>
      <w:r w:rsidR="00D75ED1" w:rsidRPr="004C6137">
        <w:rPr>
          <w:rFonts w:ascii="Palatino Linotype" w:hAnsi="Palatino Linotype"/>
        </w:rPr>
        <w:t>.</w:t>
      </w:r>
    </w:p>
    <w:p w:rsidR="00D33FFC" w:rsidRPr="004C6137" w:rsidRDefault="0007393F" w:rsidP="00E275D9">
      <w:pPr>
        <w:spacing w:before="240" w:after="240" w:line="360" w:lineRule="auto"/>
        <w:jc w:val="both"/>
        <w:rPr>
          <w:rFonts w:ascii="Palatino Linotype" w:hAnsi="Palatino Linotype"/>
        </w:rPr>
      </w:pPr>
      <w:r w:rsidRPr="004C6137">
        <w:rPr>
          <w:rFonts w:ascii="Palatino Linotype" w:hAnsi="Palatino Linotype"/>
        </w:rPr>
        <w:lastRenderedPageBreak/>
        <w:t xml:space="preserve">El Sujeto Obligado, refirió </w:t>
      </w:r>
      <w:r w:rsidR="00D75ED1" w:rsidRPr="004C6137">
        <w:rPr>
          <w:rFonts w:ascii="Palatino Linotype" w:hAnsi="Palatino Linotype"/>
        </w:rPr>
        <w:t xml:space="preserve">a través </w:t>
      </w:r>
      <w:r w:rsidR="00E275D9" w:rsidRPr="004C6137">
        <w:rPr>
          <w:rFonts w:ascii="Palatino Linotype" w:hAnsi="Palatino Linotype"/>
        </w:rPr>
        <w:t xml:space="preserve">del oficio emitido por la Servidora Pública Habilitada de la Secretaría de Rectoría, por medio del cual le hace del conocimiento al particular que los oficios firmados por la Dra. en E. Silvia Cristina </w:t>
      </w:r>
      <w:proofErr w:type="spellStart"/>
      <w:r w:rsidR="00E275D9" w:rsidRPr="004C6137">
        <w:rPr>
          <w:rFonts w:ascii="Palatino Linotype" w:hAnsi="Palatino Linotype"/>
        </w:rPr>
        <w:t>Manzur</w:t>
      </w:r>
      <w:proofErr w:type="spellEnd"/>
      <w:r w:rsidR="00E275D9" w:rsidRPr="004C6137">
        <w:rPr>
          <w:rFonts w:ascii="Palatino Linotype" w:hAnsi="Palatino Linotype"/>
        </w:rPr>
        <w:t xml:space="preserve"> Quiroga en su calidad de Rectora de la Universidad Politécnica del Valle de Toluca se encontraban físicamente en dicha área y constituían un total de 884 fojas, de las que no existe fuente obligacional para que el Sujeto Obligado deba tenerla en medios digitales, por ello, los oficios emitidos por la oficina de Rectoría durante el período del 23 de octubre de </w:t>
      </w:r>
      <w:r w:rsidR="007200BB" w:rsidRPr="004C6137">
        <w:rPr>
          <w:rFonts w:ascii="Palatino Linotype" w:hAnsi="Palatino Linotype"/>
        </w:rPr>
        <w:t>2017 al 17 de octubre del 2018</w:t>
      </w:r>
      <w:r w:rsidR="00E275D9" w:rsidRPr="004C6137">
        <w:rPr>
          <w:rFonts w:ascii="Palatino Linotype" w:hAnsi="Palatino Linotype"/>
        </w:rPr>
        <w:t>, por lo que, para poder hacer entrega a la solicitante, ésta debía realizar un pago por la cantidad de $</w:t>
      </w:r>
      <w:r w:rsidR="00A0674E" w:rsidRPr="004C6137">
        <w:rPr>
          <w:rFonts w:ascii="Palatino Linotype" w:hAnsi="Palatino Linotype"/>
        </w:rPr>
        <w:t>530.40 (quinientos treinta pesos 40/100 M.N.)</w:t>
      </w:r>
      <w:r w:rsidR="00E275D9" w:rsidRPr="004C6137">
        <w:rPr>
          <w:rFonts w:ascii="Palatino Linotype" w:hAnsi="Palatino Linotype"/>
        </w:rPr>
        <w:t>, en razón de que el costo es de 0.60 centavos por el escaneo y digitalización de cada hoja, relativa a los documentos que sean entregados vía electrónica, es decir, vía SAIMEX; p</w:t>
      </w:r>
      <w:r w:rsidR="00811217" w:rsidRPr="004C6137">
        <w:rPr>
          <w:rFonts w:ascii="Palatino Linotype" w:hAnsi="Palatino Linotype"/>
        </w:rPr>
        <w:t xml:space="preserve">ara lo cual </w:t>
      </w:r>
      <w:r w:rsidR="00D33FFC" w:rsidRPr="004C6137">
        <w:rPr>
          <w:rFonts w:ascii="Palatino Linotype" w:hAnsi="Palatino Linotype"/>
        </w:rPr>
        <w:t>el Sujeto Obligado le hace saber al particular el procedi</w:t>
      </w:r>
      <w:r w:rsidR="00C12477" w:rsidRPr="004C6137">
        <w:rPr>
          <w:rFonts w:ascii="Palatino Linotype" w:hAnsi="Palatino Linotype"/>
        </w:rPr>
        <w:t>miento</w:t>
      </w:r>
      <w:r w:rsidR="00D33FFC" w:rsidRPr="004C6137">
        <w:rPr>
          <w:rFonts w:ascii="Palatino Linotype" w:hAnsi="Palatino Linotype"/>
        </w:rPr>
        <w:t xml:space="preserve"> que debe realizar para obtener el recibo de pago en el Portal de Servicios al Contribuyente</w:t>
      </w:r>
      <w:r w:rsidR="00C12477" w:rsidRPr="004C6137">
        <w:rPr>
          <w:rFonts w:ascii="Palatino Linotype" w:hAnsi="Palatino Linotype"/>
        </w:rPr>
        <w:t xml:space="preserve"> del Estado de México,</w:t>
      </w:r>
      <w:r w:rsidR="00E275D9" w:rsidRPr="004C6137">
        <w:rPr>
          <w:rFonts w:ascii="Palatino Linotype" w:hAnsi="Palatino Linotype"/>
        </w:rPr>
        <w:t xml:space="preserve"> </w:t>
      </w:r>
      <w:r w:rsidR="00D33FFC" w:rsidRPr="004C6137">
        <w:rPr>
          <w:rFonts w:ascii="Palatino Linotype" w:hAnsi="Palatino Linotype"/>
        </w:rPr>
        <w:t>insertando la</w:t>
      </w:r>
      <w:r w:rsidR="00EA63D5" w:rsidRPr="004C6137">
        <w:rPr>
          <w:rFonts w:ascii="Palatino Linotype" w:hAnsi="Palatino Linotype"/>
        </w:rPr>
        <w:t>s</w:t>
      </w:r>
      <w:r w:rsidR="00D33FFC" w:rsidRPr="004C6137">
        <w:rPr>
          <w:rFonts w:ascii="Palatino Linotype" w:hAnsi="Palatino Linotype"/>
        </w:rPr>
        <w:t xml:space="preserve"> imágenes </w:t>
      </w:r>
      <w:r w:rsidR="00EA63D5" w:rsidRPr="004C6137">
        <w:rPr>
          <w:rFonts w:ascii="Palatino Linotype" w:hAnsi="Palatino Linotype"/>
        </w:rPr>
        <w:t>correspondientes d</w:t>
      </w:r>
      <w:r w:rsidR="00D33FFC" w:rsidRPr="004C6137">
        <w:rPr>
          <w:rFonts w:ascii="Palatino Linotype" w:hAnsi="Palatino Linotype"/>
        </w:rPr>
        <w:t>el paso a seguir.</w:t>
      </w:r>
    </w:p>
    <w:p w:rsidR="008D6EBD" w:rsidRPr="004C6137" w:rsidRDefault="008D6EBD" w:rsidP="008D6EBD">
      <w:pPr>
        <w:spacing w:before="240" w:after="240" w:line="360" w:lineRule="auto"/>
        <w:jc w:val="both"/>
        <w:rPr>
          <w:rFonts w:ascii="Palatino Linotype" w:hAnsi="Palatino Linotype" w:cs="Arial"/>
        </w:rPr>
      </w:pPr>
      <w:r w:rsidRPr="004C6137">
        <w:rPr>
          <w:rFonts w:ascii="Palatino Linotype" w:hAnsi="Palatino Linotype" w:cs="Arial"/>
        </w:rPr>
        <w:t>También, es importante mencionar que el Sujeto Obligado, manifestó poseer dicha información pero solo de manera física</w:t>
      </w:r>
      <w:r w:rsidRPr="004C6137">
        <w:rPr>
          <w:rFonts w:ascii="Palatino Linotype" w:hAnsi="Palatino Linotype" w:cs="Arial"/>
          <w:color w:val="000000" w:themeColor="text1"/>
        </w:rPr>
        <w:t xml:space="preserve"> y que además dicha información consta en 884 fojas, bajo la fundamentación legal que indica en su respuesta, considerando el Sujeto Obligado procedente que la información solicitada genere un costo por su digitalización; máxime que la información solicitada excede la cantidad de veinte hojas y, no es una fuente obligacional común ni específica que lo constriña a poseer la información digitalizada; de ahí que, requerir el pago por la digitalización de la información solicitada no </w:t>
      </w:r>
      <w:r w:rsidRPr="004C6137">
        <w:rPr>
          <w:rFonts w:ascii="Palatino Linotype" w:hAnsi="Palatino Linotype" w:cs="Arial"/>
        </w:rPr>
        <w:t xml:space="preserve">viola los derechos de la </w:t>
      </w:r>
      <w:r w:rsidRPr="004C6137">
        <w:rPr>
          <w:rFonts w:ascii="Palatino Linotype" w:hAnsi="Palatino Linotype" w:cs="Arial"/>
          <w:b/>
        </w:rPr>
        <w:t>Recurrente</w:t>
      </w:r>
      <w:r w:rsidRPr="004C6137">
        <w:rPr>
          <w:rFonts w:ascii="Palatino Linotype" w:hAnsi="Palatino Linotype" w:cs="Arial"/>
        </w:rPr>
        <w:t xml:space="preserve">, toda vez que el </w:t>
      </w:r>
      <w:r w:rsidRPr="004C6137">
        <w:rPr>
          <w:rFonts w:ascii="Palatino Linotype" w:hAnsi="Palatino Linotype" w:cs="Arial"/>
          <w:b/>
        </w:rPr>
        <w:t>Sujeto Obligado</w:t>
      </w:r>
      <w:r w:rsidRPr="004C6137">
        <w:rPr>
          <w:rFonts w:ascii="Palatino Linotype" w:hAnsi="Palatino Linotype" w:cs="Arial"/>
        </w:rPr>
        <w:t xml:space="preserve"> fundamentó y motivo dicho cobro</w:t>
      </w:r>
      <w:r w:rsidRPr="004C6137">
        <w:rPr>
          <w:rFonts w:ascii="Palatino Linotype" w:hAnsi="Palatino Linotype" w:cs="Arial"/>
          <w:color w:val="000000" w:themeColor="text1"/>
        </w:rPr>
        <w:t xml:space="preserve">, aunado a que el mismo </w:t>
      </w:r>
      <w:r w:rsidRPr="004C6137">
        <w:rPr>
          <w:rFonts w:ascii="Palatino Linotype" w:hAnsi="Palatino Linotype" w:cs="Arial"/>
        </w:rPr>
        <w:t>indicó el mecanismo para efectuar el referido pago, y manifestó que una vez acreditado dicho pago, entregará la información solicitada dentro del término legal.</w:t>
      </w:r>
    </w:p>
    <w:p w:rsidR="00C378E0" w:rsidRPr="004C6137" w:rsidRDefault="008D6EBD" w:rsidP="00B72322">
      <w:pPr>
        <w:spacing w:before="240" w:after="240" w:line="360" w:lineRule="auto"/>
        <w:jc w:val="both"/>
        <w:rPr>
          <w:rFonts w:ascii="Palatino Linotype" w:hAnsi="Palatino Linotype" w:cs="Arial"/>
        </w:rPr>
      </w:pPr>
      <w:r w:rsidRPr="004C6137">
        <w:rPr>
          <w:rFonts w:ascii="Palatino Linotype" w:hAnsi="Palatino Linotype"/>
        </w:rPr>
        <w:lastRenderedPageBreak/>
        <w:t>Posteriormente</w:t>
      </w:r>
      <w:r w:rsidR="007200BB" w:rsidRPr="004C6137">
        <w:rPr>
          <w:rFonts w:ascii="Palatino Linotype" w:hAnsi="Palatino Linotype"/>
        </w:rPr>
        <w:t>,</w:t>
      </w:r>
      <w:r w:rsidRPr="004C6137">
        <w:rPr>
          <w:rFonts w:ascii="Palatino Linotype" w:hAnsi="Palatino Linotype"/>
        </w:rPr>
        <w:t xml:space="preserve"> d</w:t>
      </w:r>
      <w:r w:rsidR="00A5140D" w:rsidRPr="004C6137">
        <w:rPr>
          <w:rFonts w:ascii="Palatino Linotype" w:hAnsi="Palatino Linotype"/>
        </w:rPr>
        <w:t xml:space="preserve">erivado de la inconformidad de la parte recurrente y ante la ratificación de la respuesta por parte del Sujeto Obligado, la Comisionada ponente argumentó en la </w:t>
      </w:r>
      <w:r w:rsidR="00A5140D" w:rsidRPr="004C6137">
        <w:rPr>
          <w:rFonts w:ascii="Palatino Linotype" w:hAnsi="Palatino Linotype" w:cs="Arial"/>
        </w:rPr>
        <w:t>resolución que se comenta que no</w:t>
      </w:r>
      <w:r w:rsidR="00875530" w:rsidRPr="004C6137">
        <w:rPr>
          <w:rFonts w:ascii="Palatino Linotype" w:hAnsi="Palatino Linotype" w:cs="Arial"/>
        </w:rPr>
        <w:t xml:space="preserve"> existe obligatoriedad para la Universidad Politécnica del Valle de Toluca</w:t>
      </w:r>
      <w:r w:rsidR="00A5140D" w:rsidRPr="004C6137">
        <w:rPr>
          <w:rFonts w:ascii="Palatino Linotype" w:hAnsi="Palatino Linotype" w:cs="Arial"/>
        </w:rPr>
        <w:t xml:space="preserve"> para contar con la información de forma digitalizada, </w:t>
      </w:r>
      <w:r w:rsidR="00A85619" w:rsidRPr="004C6137">
        <w:rPr>
          <w:rFonts w:ascii="Palatino Linotype" w:hAnsi="Palatino Linotype" w:cs="Arial"/>
        </w:rPr>
        <w:t>considerando</w:t>
      </w:r>
      <w:r w:rsidR="00A5140D" w:rsidRPr="004C6137">
        <w:rPr>
          <w:rFonts w:ascii="Palatino Linotype" w:hAnsi="Palatino Linotype" w:cs="Arial"/>
        </w:rPr>
        <w:t xml:space="preserve"> procedente el cobro en términos </w:t>
      </w:r>
      <w:r w:rsidR="00875530" w:rsidRPr="004C6137">
        <w:rPr>
          <w:rFonts w:ascii="Palatino Linotype" w:hAnsi="Palatino Linotype" w:cs="Arial"/>
        </w:rPr>
        <w:t>de lo que establece</w:t>
      </w:r>
      <w:r w:rsidR="00234117" w:rsidRPr="004C6137">
        <w:rPr>
          <w:rFonts w:ascii="Palatino Linotype" w:hAnsi="Palatino Linotype" w:cs="Arial"/>
        </w:rPr>
        <w:t xml:space="preserve">n los artículos 9, fracción III, 17 y 174 </w:t>
      </w:r>
      <w:r w:rsidR="00875530" w:rsidRPr="004C6137">
        <w:rPr>
          <w:rFonts w:ascii="Palatino Linotype" w:hAnsi="Palatino Linotype" w:cs="Arial"/>
        </w:rPr>
        <w:t>de la Ley de Transparencia y Acceso a la Información Pública del Estado de México y Municipios</w:t>
      </w:r>
      <w:r w:rsidR="00A85619" w:rsidRPr="004C6137">
        <w:rPr>
          <w:rFonts w:ascii="Palatino Linotype" w:hAnsi="Palatino Linotype" w:cs="Arial"/>
        </w:rPr>
        <w:t>, los</w:t>
      </w:r>
      <w:r w:rsidR="00875530" w:rsidRPr="004C6137">
        <w:rPr>
          <w:rFonts w:ascii="Palatino Linotype" w:hAnsi="Palatino Linotype" w:cs="Arial"/>
        </w:rPr>
        <w:t xml:space="preserve"> cual</w:t>
      </w:r>
      <w:r w:rsidR="00A85619" w:rsidRPr="004C6137">
        <w:rPr>
          <w:rFonts w:ascii="Palatino Linotype" w:hAnsi="Palatino Linotype" w:cs="Arial"/>
        </w:rPr>
        <w:t>es</w:t>
      </w:r>
      <w:r w:rsidRPr="004C6137">
        <w:rPr>
          <w:rFonts w:ascii="Palatino Linotype" w:hAnsi="Palatino Linotype" w:cs="Arial"/>
        </w:rPr>
        <w:t xml:space="preserve"> se encuentra relacionado</w:t>
      </w:r>
      <w:r w:rsidR="00A85619" w:rsidRPr="004C6137">
        <w:rPr>
          <w:rFonts w:ascii="Palatino Linotype" w:hAnsi="Palatino Linotype" w:cs="Arial"/>
        </w:rPr>
        <w:t>s</w:t>
      </w:r>
      <w:r w:rsidRPr="004C6137">
        <w:rPr>
          <w:rFonts w:ascii="Palatino Linotype" w:hAnsi="Palatino Linotype" w:cs="Arial"/>
        </w:rPr>
        <w:t xml:space="preserve"> con los</w:t>
      </w:r>
      <w:r w:rsidR="00875530" w:rsidRPr="004C6137">
        <w:rPr>
          <w:rFonts w:ascii="Palatino Linotype" w:hAnsi="Palatino Linotype" w:cs="Arial"/>
        </w:rPr>
        <w:t xml:space="preserve"> artículo</w:t>
      </w:r>
      <w:r w:rsidRPr="004C6137">
        <w:rPr>
          <w:rFonts w:ascii="Palatino Linotype" w:hAnsi="Palatino Linotype" w:cs="Arial"/>
        </w:rPr>
        <w:t>s 3, fracción XV y 73, fracción VI del Código Financiero del Estado de México y Municipios.</w:t>
      </w:r>
    </w:p>
    <w:p w:rsidR="004C6137" w:rsidRPr="004C6137" w:rsidRDefault="004C6137" w:rsidP="0002347C">
      <w:pPr>
        <w:spacing w:before="240" w:after="240" w:line="360" w:lineRule="auto"/>
        <w:jc w:val="both"/>
        <w:rPr>
          <w:rFonts w:ascii="Palatino Linotype" w:eastAsia="Times New Roman" w:hAnsi="Palatino Linotype" w:cs="Times New Roman"/>
          <w:lang w:val="es-ES" w:eastAsia="es-ES"/>
        </w:rPr>
      </w:pPr>
      <w:r w:rsidRPr="004C6137">
        <w:rPr>
          <w:rFonts w:ascii="Palatino Linotype" w:hAnsi="Palatino Linotype"/>
        </w:rPr>
        <w:t xml:space="preserve">Al respecto, los suscritos consideramos que la Ponencia resolutora debió Revocar la respuesta emitida, pues </w:t>
      </w:r>
      <w:r w:rsidRPr="004C6137">
        <w:rPr>
          <w:rFonts w:ascii="Palatino Linotype" w:eastAsia="Times New Roman" w:hAnsi="Palatino Linotype" w:cs="Times New Roman"/>
          <w:lang w:val="es-ES" w:eastAsia="es-ES"/>
        </w:rPr>
        <w:t xml:space="preserve">si bien no existe precepto legal específico que exija al Sujeto Obligado digitalizar o realizar el archivo electrónico de la documentación solicitada que en todo caso generé, posea o administre, previo a un requerimiento de información, lo cierto es que según lo mandatan los artículos 4, párrafo segundo; 9, fracción VII; 18, 160, 164 y 166 de la Ley de Transparencia y Acceso a la Información Pública del Estado de México, los Sujeto Obligados: </w:t>
      </w:r>
    </w:p>
    <w:p w:rsidR="004C6137" w:rsidRPr="004C6137" w:rsidRDefault="004C6137" w:rsidP="0002347C">
      <w:pPr>
        <w:spacing w:before="240" w:after="240" w:line="360" w:lineRule="auto"/>
        <w:jc w:val="both"/>
        <w:rPr>
          <w:rFonts w:ascii="Palatino Linotype" w:eastAsia="Times New Roman" w:hAnsi="Palatino Linotype" w:cs="Times New Roman"/>
          <w:lang w:val="es-ES" w:eastAsia="es-ES"/>
        </w:rPr>
      </w:pPr>
      <w:r w:rsidRPr="004C6137">
        <w:rPr>
          <w:rFonts w:ascii="Palatino Linotype" w:eastAsia="Times New Roman" w:hAnsi="Palatino Linotype" w:cs="Times New Roman"/>
          <w:lang w:val="es-ES" w:eastAsia="es-ES"/>
        </w:rPr>
        <w:t>“</w:t>
      </w:r>
      <w:r w:rsidRPr="004C6137">
        <w:rPr>
          <w:rFonts w:ascii="Palatino Linotype" w:eastAsia="Times New Roman" w:hAnsi="Palatino Linotype" w:cs="Times New Roman"/>
          <w:i/>
          <w:lang w:val="es-ES" w:eastAsia="es-ES"/>
        </w:rPr>
        <w:t>Deberán documentar 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en el formato que el solicitante manifieste, conforme a las características físicas de la información, privilegiándose la entrega de información en formatos abiertos, en la modalidad de entrega y en su caso, de envío elegidos por el solicitante, debiendo motivar y fundar la necesidad de ofrecer otras modalidades; teniéndose por cumplida la obligación de acceso a la información pública cuando el solicitante tenga su disposición la información requerida o haya realizado la consulta de la misma en el lugar en que ésta se localice.”</w:t>
      </w:r>
      <w:r w:rsidRPr="004C6137">
        <w:rPr>
          <w:rFonts w:ascii="Palatino Linotype" w:eastAsia="Times New Roman" w:hAnsi="Palatino Linotype" w:cs="Times New Roman"/>
          <w:lang w:val="es-ES" w:eastAsia="es-ES"/>
        </w:rPr>
        <w:t xml:space="preserve"> </w:t>
      </w:r>
    </w:p>
    <w:p w:rsidR="004C6137" w:rsidRPr="004C6137" w:rsidRDefault="004C6137" w:rsidP="0002347C">
      <w:pPr>
        <w:spacing w:before="240" w:after="240" w:line="360" w:lineRule="auto"/>
        <w:jc w:val="both"/>
        <w:rPr>
          <w:rFonts w:ascii="Palatino Linotype" w:hAnsi="Palatino Linotype" w:cs="Arial"/>
        </w:rPr>
      </w:pPr>
      <w:r w:rsidRPr="004C6137">
        <w:rPr>
          <w:rFonts w:ascii="Palatino Linotype" w:hAnsi="Palatino Linotype" w:cs="Arial"/>
        </w:rPr>
        <w:t>Es así que los suscritos, no compartimos lo argüido en la resolución aprobada por el Pleno de este Órgano Garante, en lo relativo a la factibilidad del cobro por el  escaneo de la información a entregar, ya que ello se aparta del principio de gratuidad que rige a este Instituto.</w:t>
      </w:r>
    </w:p>
    <w:p w:rsidR="004C6137" w:rsidRPr="004C6137" w:rsidRDefault="004C6137" w:rsidP="0002347C">
      <w:pPr>
        <w:spacing w:before="240" w:after="240" w:line="360" w:lineRule="auto"/>
        <w:jc w:val="both"/>
        <w:rPr>
          <w:rFonts w:ascii="Palatino Linotype" w:hAnsi="Palatino Linotype" w:cs="Arial"/>
          <w:b/>
        </w:rPr>
      </w:pPr>
      <w:r w:rsidRPr="004C6137">
        <w:rPr>
          <w:rFonts w:ascii="Palatino Linotype" w:hAnsi="Palatino Linotype" w:cs="Arial"/>
        </w:rPr>
        <w:t>Robustece lo anterior, la propia construcción de la Ley de la materia, ya que en su artículo 2, fracción II, dispone, como uno de sus objetivos, proveer lo necesario para garantizar a toda persona el derecho de acceso a la información pública a través de procedimientos sencillos, expeditos, oportunos y gratuitos.</w:t>
      </w:r>
    </w:p>
    <w:p w:rsidR="004C6137" w:rsidRPr="004C6137" w:rsidRDefault="004C6137" w:rsidP="0002347C">
      <w:pPr>
        <w:spacing w:before="240" w:after="240" w:line="360" w:lineRule="auto"/>
        <w:jc w:val="both"/>
        <w:rPr>
          <w:rFonts w:ascii="Palatino Linotype" w:hAnsi="Palatino Linotype" w:cs="Arial"/>
        </w:rPr>
      </w:pPr>
      <w:r w:rsidRPr="004C6137">
        <w:rPr>
          <w:rFonts w:ascii="Palatino Linotype" w:hAnsi="Palatino Linotype" w:cs="Arial"/>
        </w:rPr>
        <w:t>Asimismo, los diversos 17 y 150 de la Ley de Transparencia referida, establecen que la búsqueda y acceso a la información es gratuita y sólo se cubrirán en su caso, los gastos de reproducción por la modalidad de entrega solicitada o por el envío,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4C6137" w:rsidRPr="004C6137" w:rsidRDefault="004C6137" w:rsidP="0002347C">
      <w:pPr>
        <w:spacing w:before="240" w:after="240" w:line="360" w:lineRule="auto"/>
        <w:jc w:val="both"/>
        <w:rPr>
          <w:rFonts w:ascii="Palatino Linotype" w:hAnsi="Palatino Linotype" w:cs="Arial"/>
        </w:rPr>
      </w:pPr>
      <w:r w:rsidRPr="004C6137">
        <w:rPr>
          <w:rFonts w:ascii="Palatino Linotype" w:hAnsi="Palatino Linotype" w:cs="Arial"/>
        </w:rPr>
        <w:t>En este contexto, al referirse la Constitución Política de los Estados Unidos Mexicanos y la Ley de Transparencia vigente en la Entidad, al procedimiento de acceso a la información pública bajo el principio de gratuidad, lo hace con la finalidad de garantizar la protección a un derecho fundamental que tiene dimensión social, al ser un condicionante necesario para el funcionamiento de una sociedad democrática, por lo que cualquier afectación a este, exige una justificación y jamás puede tener efectos recaudatorios, a menos que la reproducción de la información sea en fotocopias, respaldos informativos, que impliquen la entrega de materiales consumibles.</w:t>
      </w:r>
    </w:p>
    <w:p w:rsidR="004C6137" w:rsidRPr="004C6137" w:rsidRDefault="004C6137" w:rsidP="0002347C">
      <w:pPr>
        <w:spacing w:before="240" w:after="240" w:line="360" w:lineRule="auto"/>
        <w:jc w:val="both"/>
        <w:rPr>
          <w:rFonts w:ascii="Palatino Linotype" w:hAnsi="Palatino Linotype"/>
        </w:rPr>
      </w:pPr>
      <w:r w:rsidRPr="004C6137">
        <w:rPr>
          <w:rFonts w:ascii="Palatino Linotype" w:hAnsi="Palatino Linotype" w:cs="Arial"/>
        </w:rPr>
        <w:t xml:space="preserve">Bajo este orden de ideas,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en virtud de la modalidad de entrega solicitada o por su envío,  </w:t>
      </w:r>
      <w:r w:rsidRPr="004C6137">
        <w:rPr>
          <w:rFonts w:ascii="Palatino Linotype" w:hAnsi="Palatino Linotype"/>
        </w:rPr>
        <w:t xml:space="preserve">sin embargo, en el caso concreto no se estima que se actualice ninguno de esos supuestos, pues no debe perderse de vista que el solicitante requirió la información a través del SAIMEX, por lo que su atención únicamente implica la digitalización o escaneo de la información a entregar, lo cual no conlleva la utilización de materiales que generen un costo para el Sujeto Obligado, como en el caso de entrega de copias simples, certificadas o en medio óptico; así tampoco se genera un gasto por el envío de la información, ya que una de las finalidades de la utilización del sistema SAIMEX es evitar la generación de gastos para los solicitantes, pues se trata de un sistema electrónico que para su acceso no se necesita recurso alguno, sino solamente la conexión a un sistema de Internet. </w:t>
      </w:r>
    </w:p>
    <w:p w:rsidR="004C6137" w:rsidRPr="004C6137" w:rsidRDefault="004C6137" w:rsidP="0002347C">
      <w:pPr>
        <w:spacing w:before="240" w:after="240" w:line="360" w:lineRule="auto"/>
        <w:jc w:val="both"/>
        <w:rPr>
          <w:rFonts w:ascii="Palatino Linotype" w:hAnsi="Palatino Linotype" w:cs="Arial"/>
        </w:rPr>
      </w:pPr>
      <w:r w:rsidRPr="004C6137">
        <w:rPr>
          <w:rFonts w:ascii="Palatino Linotype" w:hAnsi="Palatino Linotype"/>
        </w:rPr>
        <w:t xml:space="preserve">Aunado a lo anterior, es pertinente mencionar </w:t>
      </w:r>
      <w:r w:rsidRPr="004C6137">
        <w:rPr>
          <w:rFonts w:ascii="Palatino Linotype" w:hAnsi="Palatino Linotype" w:cs="Arial"/>
        </w:rPr>
        <w:t>la exposición de motivos de la Ley de Transparencia del Estado en cita, cuyo texto señala que se adoptará una ruta regida por el principio de progresividad en la materia, que implique plena interconectividad entre las plataformas estatales existentes, las cuales deberán acoplarse a la plataforma nacional, lo que conlleva desde un primer momento,  utilizar la información digitalizada por la propia función del gobierno y en datos abiertos.</w:t>
      </w:r>
    </w:p>
    <w:p w:rsidR="004C6137" w:rsidRPr="004C6137" w:rsidRDefault="004C6137" w:rsidP="0002347C">
      <w:pPr>
        <w:spacing w:before="240" w:after="240" w:line="360" w:lineRule="auto"/>
        <w:jc w:val="both"/>
        <w:rPr>
          <w:rFonts w:ascii="Palatino Linotype" w:hAnsi="Palatino Linotype" w:cs="Arial"/>
        </w:rPr>
      </w:pPr>
      <w:r w:rsidRPr="004C6137">
        <w:rPr>
          <w:rFonts w:ascii="Palatino Linotype" w:hAnsi="Palatino Linotype" w:cs="Arial"/>
        </w:rPr>
        <w:t xml:space="preserve">A su vez, el artículo 24, fracción XXIII, de la Ley  de Transparencia en cita, dispone como obligación de los entes públicos, procurar la digitalización de toda la información pública en su poder, mientras que el diverso 175 prevé que la información que deban publicar en términos de la Ley o deba ser generada de manera electrónica, según lo dispongan las disposiciones legales o administrativas, no podrán tener </w:t>
      </w:r>
      <w:r w:rsidRPr="004C6137">
        <w:rPr>
          <w:rFonts w:ascii="Palatino Linotype" w:hAnsi="Palatino Linotype" w:cs="Arial"/>
          <w:b/>
        </w:rPr>
        <w:t xml:space="preserve">ningún costo, </w:t>
      </w:r>
      <w:r w:rsidRPr="004C6137">
        <w:rPr>
          <w:rFonts w:ascii="Palatino Linotype" w:hAnsi="Palatino Linotype" w:cs="Arial"/>
        </w:rPr>
        <w:t>incluyendo aquella que se hubiera digitalizado previamente por cualquier motivo, aún menos en aquellos casos en que la modalidad de entrega sea por medio de la plataforma o vía electrónica.</w:t>
      </w:r>
    </w:p>
    <w:p w:rsidR="004C6137" w:rsidRPr="004C6137" w:rsidRDefault="004C6137" w:rsidP="0002347C">
      <w:pPr>
        <w:spacing w:before="240" w:after="240" w:line="360" w:lineRule="auto"/>
        <w:jc w:val="both"/>
        <w:rPr>
          <w:rFonts w:ascii="Palatino Linotype" w:hAnsi="Palatino Linotype"/>
          <w:color w:val="000000"/>
        </w:rPr>
      </w:pPr>
      <w:r w:rsidRPr="004C6137">
        <w:rPr>
          <w:rFonts w:ascii="Palatino Linotype" w:hAnsi="Palatino Linotype" w:cs="Arial"/>
        </w:rPr>
        <w:t>Por lo tanto, no existe supuesto jurídico que autorice al Sujeto Obligado</w:t>
      </w:r>
      <w:r w:rsidRPr="004C6137">
        <w:rPr>
          <w:rFonts w:ascii="Palatino Linotype" w:hAnsi="Palatino Linotype" w:cs="Arial"/>
          <w:b/>
        </w:rPr>
        <w:t xml:space="preserve"> </w:t>
      </w:r>
      <w:r w:rsidRPr="004C6137">
        <w:rPr>
          <w:rFonts w:ascii="Palatino Linotype" w:hAnsi="Palatino Linotype" w:cs="Arial"/>
        </w:rPr>
        <w:t xml:space="preserve">a requerir un pago para entregar la información vía SAIMEX, </w:t>
      </w:r>
      <w:r w:rsidRPr="004C6137">
        <w:rPr>
          <w:rFonts w:ascii="Palatino Linotype" w:hAnsi="Palatino Linotype"/>
          <w:color w:val="000000"/>
        </w:rPr>
        <w:t xml:space="preserve">debido a que dicho sistema fue creado para facilitar el registro y atención de las solicitudes de información, y </w:t>
      </w:r>
      <w:r w:rsidRPr="004C6137">
        <w:rPr>
          <w:rFonts w:ascii="Palatino Linotype" w:hAnsi="Palatino Linotype" w:cs="Arial"/>
        </w:rPr>
        <w:t xml:space="preserve">es su obligación trasladar la </w:t>
      </w:r>
      <w:r w:rsidRPr="004C6137">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resulte necesario.</w:t>
      </w:r>
    </w:p>
    <w:p w:rsidR="004C6137" w:rsidRPr="004C6137" w:rsidRDefault="004C6137" w:rsidP="0002347C">
      <w:pPr>
        <w:spacing w:before="240" w:after="240" w:line="360" w:lineRule="auto"/>
        <w:jc w:val="both"/>
        <w:rPr>
          <w:rFonts w:ascii="Palatino Linotype" w:hAnsi="Palatino Linotype" w:cs="Arial"/>
        </w:rPr>
      </w:pPr>
      <w:r w:rsidRPr="004C6137">
        <w:rPr>
          <w:rFonts w:ascii="Palatino Linotype" w:hAnsi="Palatino Linotype" w:cs="Arial"/>
        </w:rPr>
        <w:t xml:space="preserve">Pensar lo contrario, sería tanto como reconocer que la utilización del sistema SAIMEX transgrede o limita el derecho de acceso a la información pública de los solicitantes, ya que de requerir la entrega de la información a la cual desean acceder a través del mismo, implicaría la obligación de pagar por la atención a su derecho cuando se trate de información que no se encuentre contemplada en las obligaciones de transparencia comunes y específicas, pues respecto de tal información no existe la obligación de tenerla digitalizada, como lo determinó la Ponencia resolutora. </w:t>
      </w:r>
    </w:p>
    <w:p w:rsidR="004C6137" w:rsidRPr="004C6137" w:rsidRDefault="004C6137" w:rsidP="0002347C">
      <w:pPr>
        <w:spacing w:before="240" w:after="240" w:line="360" w:lineRule="auto"/>
        <w:jc w:val="both"/>
        <w:rPr>
          <w:rFonts w:ascii="Palatino Linotype" w:hAnsi="Palatino Linotype"/>
        </w:rPr>
      </w:pPr>
      <w:r w:rsidRPr="004C6137">
        <w:rPr>
          <w:rFonts w:ascii="Palatino Linotype" w:hAnsi="Palatino Linotype"/>
          <w:color w:val="000000"/>
        </w:rPr>
        <w:t xml:space="preserve">Bajo esta óptica, el </w:t>
      </w:r>
      <w:r w:rsidRPr="004C6137">
        <w:rPr>
          <w:rFonts w:ascii="Palatino Linotype" w:hAnsi="Palatino Linotype"/>
        </w:rPr>
        <w:t>derecho del particular de acceder a los documentos que obran en posesión del Sujeto Obligado</w:t>
      </w:r>
      <w:r w:rsidRPr="004C6137">
        <w:rPr>
          <w:rFonts w:ascii="Palatino Linotype" w:hAnsi="Palatino Linotype"/>
          <w:b/>
        </w:rPr>
        <w:t xml:space="preserve"> </w:t>
      </w:r>
      <w:r w:rsidRPr="004C6137">
        <w:rPr>
          <w:rFonts w:ascii="Palatino Linotype" w:hAnsi="Palatino Linotype"/>
        </w:rPr>
        <w:t xml:space="preserve">se limitó, en virtud de que no le fue proporcionada la información solicitada con lo cual se </w:t>
      </w:r>
      <w:r w:rsidRPr="004C6137">
        <w:rPr>
          <w:rFonts w:ascii="Palatino Linotype" w:hAnsi="Palatino Linotype" w:cs="Arial"/>
          <w:bCs/>
        </w:rPr>
        <w:t>incumplió lo previsto en el artículo 4 de la Ley de la materia, t</w:t>
      </w:r>
      <w:r w:rsidRPr="004C6137">
        <w:rPr>
          <w:rFonts w:ascii="Palatino Linotype" w:hAnsi="Palatino Linotype"/>
        </w:rPr>
        <w:t xml:space="preserve">oda vez que el </w:t>
      </w:r>
      <w:r w:rsidRPr="004C6137">
        <w:rPr>
          <w:rFonts w:ascii="Palatino Linotype" w:hAnsi="Palatino Linotype" w:cs="Arial"/>
        </w:rPr>
        <w:t xml:space="preserve">derecho de acceso a la información se define como la prerrogativa que tiene toda persona para acceder a la información generada, administrada o en poder de estos, apegándose en todo momento al principio de máxima publicidad consagrado en la Constitución Política de los Estados Unidos Mexicanos y en la Constitución Política del Estado Libre y Soberano de </w:t>
      </w:r>
      <w:r w:rsidRPr="004C6137">
        <w:rPr>
          <w:rFonts w:ascii="Palatino Linotype" w:hAnsi="Palatino Linotype"/>
        </w:rPr>
        <w:t>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otorgar el acceso a la información pública, buscando la disponibilidad de los mismos.</w:t>
      </w:r>
    </w:p>
    <w:p w:rsidR="004C6137" w:rsidRPr="004C6137" w:rsidRDefault="004C6137" w:rsidP="004C6137">
      <w:pPr>
        <w:spacing w:before="240" w:after="240" w:line="360" w:lineRule="auto"/>
        <w:jc w:val="both"/>
        <w:rPr>
          <w:rFonts w:ascii="Palatino Linotype" w:hAnsi="Palatino Linotype"/>
        </w:rPr>
      </w:pPr>
      <w:r w:rsidRPr="004C6137">
        <w:rPr>
          <w:rFonts w:ascii="Palatino Linotype" w:hAnsi="Palatino Linotype" w:cs="Arial"/>
        </w:rPr>
        <w:t>De tal suerte, en el caso que nos ocupa, coincidimos en que la resolución debió ordenar a la UPVT a entregar vía SAIMEX sin costo, la información materia del recurso de revisión; l</w:t>
      </w:r>
      <w:r w:rsidRPr="004C6137">
        <w:rPr>
          <w:rFonts w:ascii="Palatino Linotype" w:hAnsi="Palatino Linotype"/>
        </w:rPr>
        <w:t>o anterior, son razones suficientes para la emisión del presente Voto Particular</w:t>
      </w:r>
      <w:r w:rsidR="003B66EF">
        <w:rPr>
          <w:rFonts w:ascii="Palatino Linotype" w:hAnsi="Palatino Linotype"/>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6"/>
      </w:tblGrid>
      <w:tr w:rsidR="008049A1" w:rsidRPr="00875530" w:rsidTr="00E847AE">
        <w:trPr>
          <w:trHeight w:val="809"/>
          <w:jc w:val="center"/>
        </w:trPr>
        <w:tc>
          <w:tcPr>
            <w:tcW w:w="4396" w:type="dxa"/>
          </w:tcPr>
          <w:p w:rsidR="008049A1" w:rsidRPr="00875530" w:rsidRDefault="008049A1" w:rsidP="008049A1">
            <w:pPr>
              <w:jc w:val="center"/>
              <w:rPr>
                <w:rFonts w:ascii="Palatino Linotype" w:hAnsi="Palatino Linotype"/>
                <w:b/>
                <w:sz w:val="24"/>
                <w:szCs w:val="24"/>
              </w:rPr>
            </w:pPr>
          </w:p>
          <w:p w:rsidR="008049A1" w:rsidRPr="00875530" w:rsidRDefault="008049A1" w:rsidP="008049A1">
            <w:pPr>
              <w:jc w:val="center"/>
              <w:rPr>
                <w:rFonts w:ascii="Palatino Linotype" w:hAnsi="Palatino Linotype"/>
                <w:b/>
                <w:sz w:val="24"/>
                <w:szCs w:val="24"/>
              </w:rPr>
            </w:pPr>
          </w:p>
          <w:p w:rsidR="008049A1" w:rsidRPr="00875530" w:rsidRDefault="008049A1" w:rsidP="008049A1">
            <w:pPr>
              <w:jc w:val="center"/>
              <w:rPr>
                <w:rFonts w:ascii="Palatino Linotype" w:hAnsi="Palatino Linotype"/>
                <w:b/>
                <w:sz w:val="24"/>
                <w:szCs w:val="24"/>
              </w:rPr>
            </w:pPr>
          </w:p>
          <w:p w:rsidR="008049A1" w:rsidRPr="00875530" w:rsidRDefault="00A0674E" w:rsidP="008049A1">
            <w:pPr>
              <w:jc w:val="center"/>
              <w:rPr>
                <w:rFonts w:ascii="Palatino Linotype" w:hAnsi="Palatino Linotype"/>
                <w:b/>
                <w:sz w:val="24"/>
                <w:szCs w:val="24"/>
              </w:rPr>
            </w:pPr>
            <w:r>
              <w:rPr>
                <w:rFonts w:ascii="Palatino Linotype" w:hAnsi="Palatino Linotype"/>
                <w:b/>
                <w:sz w:val="24"/>
                <w:szCs w:val="24"/>
              </w:rPr>
              <w:t>Luis Gustavo Parra Noriega.</w:t>
            </w:r>
          </w:p>
        </w:tc>
        <w:tc>
          <w:tcPr>
            <w:tcW w:w="4396" w:type="dxa"/>
          </w:tcPr>
          <w:p w:rsidR="008049A1" w:rsidRPr="00875530" w:rsidRDefault="008049A1" w:rsidP="008049A1">
            <w:pPr>
              <w:jc w:val="center"/>
              <w:rPr>
                <w:rFonts w:ascii="Palatino Linotype" w:hAnsi="Palatino Linotype"/>
                <w:b/>
                <w:sz w:val="24"/>
                <w:szCs w:val="24"/>
              </w:rPr>
            </w:pPr>
          </w:p>
          <w:p w:rsidR="008049A1" w:rsidRPr="00875530" w:rsidRDefault="008049A1" w:rsidP="008049A1">
            <w:pPr>
              <w:jc w:val="center"/>
              <w:rPr>
                <w:rFonts w:ascii="Palatino Linotype" w:hAnsi="Palatino Linotype"/>
                <w:b/>
                <w:sz w:val="24"/>
                <w:szCs w:val="24"/>
              </w:rPr>
            </w:pPr>
          </w:p>
          <w:p w:rsidR="008049A1" w:rsidRPr="00875530" w:rsidRDefault="008049A1" w:rsidP="008049A1">
            <w:pPr>
              <w:jc w:val="center"/>
              <w:rPr>
                <w:rFonts w:ascii="Palatino Linotype" w:hAnsi="Palatino Linotype"/>
                <w:b/>
                <w:sz w:val="24"/>
                <w:szCs w:val="24"/>
              </w:rPr>
            </w:pPr>
          </w:p>
          <w:p w:rsidR="008049A1" w:rsidRPr="00875530" w:rsidRDefault="008049A1" w:rsidP="008049A1">
            <w:pPr>
              <w:jc w:val="center"/>
              <w:rPr>
                <w:rFonts w:ascii="Palatino Linotype" w:hAnsi="Palatino Linotype"/>
                <w:b/>
                <w:sz w:val="24"/>
                <w:szCs w:val="24"/>
              </w:rPr>
            </w:pPr>
            <w:r w:rsidRPr="00875530">
              <w:rPr>
                <w:rFonts w:ascii="Palatino Linotype" w:hAnsi="Palatino Linotype"/>
                <w:b/>
                <w:sz w:val="24"/>
                <w:szCs w:val="24"/>
              </w:rPr>
              <w:t>Javier Martínez Cruz</w:t>
            </w:r>
            <w:r>
              <w:rPr>
                <w:rFonts w:ascii="Palatino Linotype" w:hAnsi="Palatino Linotype"/>
                <w:b/>
                <w:sz w:val="24"/>
                <w:szCs w:val="24"/>
              </w:rPr>
              <w:t xml:space="preserve"> </w:t>
            </w:r>
          </w:p>
        </w:tc>
      </w:tr>
      <w:tr w:rsidR="008049A1" w:rsidRPr="00875530" w:rsidTr="004C6137">
        <w:trPr>
          <w:trHeight w:val="565"/>
          <w:jc w:val="center"/>
        </w:trPr>
        <w:tc>
          <w:tcPr>
            <w:tcW w:w="4396" w:type="dxa"/>
          </w:tcPr>
          <w:p w:rsidR="008049A1" w:rsidRPr="00875530" w:rsidRDefault="008049A1" w:rsidP="008049A1">
            <w:pPr>
              <w:jc w:val="center"/>
              <w:rPr>
                <w:rFonts w:ascii="Palatino Linotype" w:hAnsi="Palatino Linotype"/>
                <w:b/>
                <w:sz w:val="24"/>
                <w:szCs w:val="24"/>
              </w:rPr>
            </w:pPr>
            <w:r w:rsidRPr="00875530">
              <w:rPr>
                <w:rFonts w:ascii="Palatino Linotype" w:hAnsi="Palatino Linotype"/>
                <w:b/>
                <w:sz w:val="24"/>
                <w:szCs w:val="24"/>
              </w:rPr>
              <w:t>Comisionado</w:t>
            </w:r>
          </w:p>
          <w:p w:rsidR="008049A1" w:rsidRPr="00284B9B" w:rsidRDefault="00284B9B" w:rsidP="00284B9B">
            <w:pPr>
              <w:jc w:val="center"/>
              <w:rPr>
                <w:rFonts w:ascii="Palatino Linotype" w:hAnsi="Palatino Linotype"/>
                <w:sz w:val="24"/>
                <w:szCs w:val="24"/>
              </w:rPr>
            </w:pPr>
            <w:r w:rsidRPr="00284B9B">
              <w:rPr>
                <w:rFonts w:ascii="Palatino Linotype" w:hAnsi="Palatino Linotype"/>
                <w:sz w:val="24"/>
                <w:szCs w:val="24"/>
              </w:rPr>
              <w:t>(Rúbrica)</w:t>
            </w:r>
          </w:p>
          <w:p w:rsidR="008049A1" w:rsidRPr="00875530" w:rsidRDefault="008049A1" w:rsidP="008049A1">
            <w:pPr>
              <w:jc w:val="center"/>
              <w:rPr>
                <w:rFonts w:ascii="Palatino Linotype" w:hAnsi="Palatino Linotype"/>
                <w:sz w:val="24"/>
                <w:szCs w:val="24"/>
              </w:rPr>
            </w:pPr>
          </w:p>
        </w:tc>
        <w:tc>
          <w:tcPr>
            <w:tcW w:w="4396" w:type="dxa"/>
          </w:tcPr>
          <w:p w:rsidR="008049A1" w:rsidRDefault="008049A1" w:rsidP="008049A1">
            <w:pPr>
              <w:jc w:val="center"/>
              <w:rPr>
                <w:rFonts w:ascii="Palatino Linotype" w:hAnsi="Palatino Linotype"/>
                <w:b/>
                <w:sz w:val="24"/>
                <w:szCs w:val="24"/>
              </w:rPr>
            </w:pPr>
            <w:r w:rsidRPr="00875530">
              <w:rPr>
                <w:rFonts w:ascii="Palatino Linotype" w:hAnsi="Palatino Linotype"/>
                <w:b/>
                <w:sz w:val="24"/>
                <w:szCs w:val="24"/>
              </w:rPr>
              <w:t>Comisionado</w:t>
            </w:r>
          </w:p>
          <w:p w:rsidR="008049A1" w:rsidRPr="00875530" w:rsidRDefault="00284B9B" w:rsidP="008049A1">
            <w:pPr>
              <w:jc w:val="center"/>
              <w:rPr>
                <w:rFonts w:ascii="Palatino Linotype" w:hAnsi="Palatino Linotype"/>
                <w:sz w:val="24"/>
                <w:szCs w:val="24"/>
              </w:rPr>
            </w:pPr>
            <w:r>
              <w:rPr>
                <w:rFonts w:ascii="Palatino Linotype" w:hAnsi="Palatino Linotype"/>
                <w:sz w:val="24"/>
                <w:szCs w:val="24"/>
              </w:rPr>
              <w:t>(Rúbrica)</w:t>
            </w:r>
          </w:p>
        </w:tc>
      </w:tr>
    </w:tbl>
    <w:p w:rsidR="00E95564" w:rsidRPr="00875530" w:rsidRDefault="00E95564" w:rsidP="004C6137">
      <w:pPr>
        <w:rPr>
          <w:sz w:val="24"/>
          <w:szCs w:val="24"/>
        </w:rPr>
      </w:pPr>
    </w:p>
    <w:sectPr w:rsidR="00E95564" w:rsidRPr="00875530"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68C" w:rsidRDefault="0097768C" w:rsidP="004E7F5E">
      <w:pPr>
        <w:spacing w:after="0" w:line="240" w:lineRule="auto"/>
      </w:pPr>
      <w:r>
        <w:separator/>
      </w:r>
    </w:p>
  </w:endnote>
  <w:endnote w:type="continuationSeparator" w:id="0">
    <w:p w:rsidR="0097768C" w:rsidRDefault="0097768C"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798193"/>
      <w:docPartObj>
        <w:docPartGallery w:val="Page Numbers (Bottom of Page)"/>
        <w:docPartUnique/>
      </w:docPartObj>
    </w:sdtPr>
    <w:sdtEndPr/>
    <w:sdtContent>
      <w:p w:rsidR="007200BB" w:rsidRDefault="007200BB">
        <w:pPr>
          <w:pStyle w:val="Piedepgina"/>
          <w:jc w:val="right"/>
        </w:pPr>
        <w:r>
          <w:fldChar w:fldCharType="begin"/>
        </w:r>
        <w:r>
          <w:instrText>PAGE   \* MERGEFORMAT</w:instrText>
        </w:r>
        <w:r>
          <w:fldChar w:fldCharType="separate"/>
        </w:r>
        <w:r w:rsidR="00FF4AEC" w:rsidRPr="00FF4AEC">
          <w:rPr>
            <w:noProof/>
            <w:lang w:val="es-ES"/>
          </w:rPr>
          <w:t>7</w:t>
        </w:r>
        <w:r>
          <w:fldChar w:fldCharType="end"/>
        </w:r>
      </w:p>
    </w:sdtContent>
  </w:sdt>
  <w:p w:rsidR="007200BB" w:rsidRDefault="007200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68C" w:rsidRDefault="0097768C" w:rsidP="004E7F5E">
      <w:pPr>
        <w:spacing w:after="0" w:line="240" w:lineRule="auto"/>
      </w:pPr>
      <w:r>
        <w:separator/>
      </w:r>
    </w:p>
  </w:footnote>
  <w:footnote w:type="continuationSeparator" w:id="0">
    <w:p w:rsidR="0097768C" w:rsidRDefault="0097768C"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F4AE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47" w:rsidRDefault="00FF4AEC" w:rsidP="00C46947">
    <w:pPr>
      <w:pStyle w:val="Encabezado"/>
      <w:jc w:val="right"/>
      <w:rPr>
        <w:rFonts w:ascii="Palatino Linotype" w:hAnsi="Palatino Linotype"/>
        <w:b/>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r w:rsidR="00D06490">
      <w:rPr>
        <w:rFonts w:ascii="Palatino Linotype" w:hAnsi="Palatino Linotype"/>
        <w:b/>
      </w:rPr>
      <w:t>VOTO</w:t>
    </w:r>
    <w:r w:rsidR="00C46947">
      <w:rPr>
        <w:rFonts w:ascii="Palatino Linotype" w:hAnsi="Palatino Linotype"/>
        <w:b/>
      </w:rPr>
      <w:t xml:space="preserve"> PARTICULAR</w:t>
    </w:r>
    <w:r w:rsidR="009A788D">
      <w:rPr>
        <w:rFonts w:ascii="Palatino Linotype" w:hAnsi="Palatino Linotype"/>
        <w:b/>
      </w:rPr>
      <w:t xml:space="preserve"> CONCURRENTE</w:t>
    </w:r>
  </w:p>
  <w:p w:rsidR="00751A55" w:rsidRDefault="00C46947" w:rsidP="00C46947">
    <w:pPr>
      <w:pStyle w:val="Encabezado"/>
      <w:jc w:val="right"/>
      <w:rPr>
        <w:rFonts w:ascii="Palatino Linotype" w:hAnsi="Palatino Linotype"/>
        <w:b/>
      </w:rPr>
    </w:pPr>
    <w:r w:rsidRPr="002A7C5D">
      <w:rPr>
        <w:rFonts w:ascii="Palatino Linotype" w:hAnsi="Palatino Linotype"/>
        <w:b/>
      </w:rPr>
      <w:t>RECURSO DE REVISIÓN</w:t>
    </w:r>
  </w:p>
  <w:p w:rsidR="00C46947" w:rsidRDefault="00F629BE" w:rsidP="00C46947">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04492</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p>
  <w:p w:rsidR="00751A55" w:rsidRPr="002A7C5D" w:rsidRDefault="00751A55" w:rsidP="00C46947">
    <w:pPr>
      <w:pStyle w:val="Encabezado"/>
      <w:jc w:val="right"/>
      <w:rPr>
        <w:rFonts w:ascii="Palatino Linotype" w:hAnsi="Palatino Linotype"/>
        <w:b/>
      </w:rPr>
    </w:pP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F4AE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3D8A"/>
    <w:rsid w:val="00055383"/>
    <w:rsid w:val="000556A8"/>
    <w:rsid w:val="000562B1"/>
    <w:rsid w:val="00056A42"/>
    <w:rsid w:val="00057D96"/>
    <w:rsid w:val="00066649"/>
    <w:rsid w:val="00066739"/>
    <w:rsid w:val="00067681"/>
    <w:rsid w:val="000718C0"/>
    <w:rsid w:val="000724A4"/>
    <w:rsid w:val="0007393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C7D3F"/>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26BC7"/>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4117"/>
    <w:rsid w:val="002350CD"/>
    <w:rsid w:val="0023607D"/>
    <w:rsid w:val="0023687B"/>
    <w:rsid w:val="00251938"/>
    <w:rsid w:val="00251A53"/>
    <w:rsid w:val="002537DC"/>
    <w:rsid w:val="00253E5A"/>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4B9B"/>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01EA"/>
    <w:rsid w:val="003037D3"/>
    <w:rsid w:val="00306340"/>
    <w:rsid w:val="0031071E"/>
    <w:rsid w:val="00315D1F"/>
    <w:rsid w:val="003201EE"/>
    <w:rsid w:val="003209AD"/>
    <w:rsid w:val="00321CF3"/>
    <w:rsid w:val="003449BA"/>
    <w:rsid w:val="00347B55"/>
    <w:rsid w:val="00350062"/>
    <w:rsid w:val="00353B12"/>
    <w:rsid w:val="003633CF"/>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B66E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21827"/>
    <w:rsid w:val="00423A26"/>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73F6"/>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6137"/>
    <w:rsid w:val="004C7553"/>
    <w:rsid w:val="004C7C6B"/>
    <w:rsid w:val="004D12D8"/>
    <w:rsid w:val="004D1908"/>
    <w:rsid w:val="004D7269"/>
    <w:rsid w:val="004E114C"/>
    <w:rsid w:val="004E4A6C"/>
    <w:rsid w:val="004E6098"/>
    <w:rsid w:val="004E7877"/>
    <w:rsid w:val="004E7E3A"/>
    <w:rsid w:val="004E7F5E"/>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64FA"/>
    <w:rsid w:val="00556CA8"/>
    <w:rsid w:val="00564F2E"/>
    <w:rsid w:val="00575A23"/>
    <w:rsid w:val="005776B7"/>
    <w:rsid w:val="00581E6C"/>
    <w:rsid w:val="00582061"/>
    <w:rsid w:val="00582D2C"/>
    <w:rsid w:val="00590084"/>
    <w:rsid w:val="005906A0"/>
    <w:rsid w:val="00591560"/>
    <w:rsid w:val="005954CE"/>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3EB"/>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4C86"/>
    <w:rsid w:val="006953FF"/>
    <w:rsid w:val="006A3448"/>
    <w:rsid w:val="006A58FB"/>
    <w:rsid w:val="006B0468"/>
    <w:rsid w:val="006B29C2"/>
    <w:rsid w:val="006B3E1F"/>
    <w:rsid w:val="006B5E8A"/>
    <w:rsid w:val="006B5F1F"/>
    <w:rsid w:val="006B648F"/>
    <w:rsid w:val="006B7A2C"/>
    <w:rsid w:val="006C3250"/>
    <w:rsid w:val="006C55A2"/>
    <w:rsid w:val="006D2799"/>
    <w:rsid w:val="006E0AEC"/>
    <w:rsid w:val="006E2A9B"/>
    <w:rsid w:val="006E3A08"/>
    <w:rsid w:val="006E67AC"/>
    <w:rsid w:val="006F328E"/>
    <w:rsid w:val="006F616D"/>
    <w:rsid w:val="006F7C5A"/>
    <w:rsid w:val="007006D3"/>
    <w:rsid w:val="00700EB9"/>
    <w:rsid w:val="00702EC9"/>
    <w:rsid w:val="007055BB"/>
    <w:rsid w:val="00705865"/>
    <w:rsid w:val="0070743B"/>
    <w:rsid w:val="00707FBC"/>
    <w:rsid w:val="007161AC"/>
    <w:rsid w:val="007200BB"/>
    <w:rsid w:val="00720D0B"/>
    <w:rsid w:val="00724ABC"/>
    <w:rsid w:val="007267E7"/>
    <w:rsid w:val="00733B37"/>
    <w:rsid w:val="00733C88"/>
    <w:rsid w:val="00735F99"/>
    <w:rsid w:val="0074016E"/>
    <w:rsid w:val="007409FD"/>
    <w:rsid w:val="007411E3"/>
    <w:rsid w:val="00742921"/>
    <w:rsid w:val="0074485A"/>
    <w:rsid w:val="00751804"/>
    <w:rsid w:val="00751A55"/>
    <w:rsid w:val="00753328"/>
    <w:rsid w:val="007551CB"/>
    <w:rsid w:val="007622A3"/>
    <w:rsid w:val="00762615"/>
    <w:rsid w:val="00763242"/>
    <w:rsid w:val="00764273"/>
    <w:rsid w:val="00767DBE"/>
    <w:rsid w:val="00771214"/>
    <w:rsid w:val="0077170A"/>
    <w:rsid w:val="00771984"/>
    <w:rsid w:val="00773FC0"/>
    <w:rsid w:val="00774512"/>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D6EBD"/>
    <w:rsid w:val="008E228A"/>
    <w:rsid w:val="008E425D"/>
    <w:rsid w:val="008E6760"/>
    <w:rsid w:val="008F1B97"/>
    <w:rsid w:val="008F3EE4"/>
    <w:rsid w:val="008F56F1"/>
    <w:rsid w:val="008F726A"/>
    <w:rsid w:val="0090073F"/>
    <w:rsid w:val="009041D9"/>
    <w:rsid w:val="00904807"/>
    <w:rsid w:val="0090690F"/>
    <w:rsid w:val="00906932"/>
    <w:rsid w:val="00910B6C"/>
    <w:rsid w:val="009130B9"/>
    <w:rsid w:val="00917FB4"/>
    <w:rsid w:val="00921880"/>
    <w:rsid w:val="0092406A"/>
    <w:rsid w:val="00924E3B"/>
    <w:rsid w:val="009273D1"/>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7768C"/>
    <w:rsid w:val="00985020"/>
    <w:rsid w:val="009859BF"/>
    <w:rsid w:val="00986B92"/>
    <w:rsid w:val="00990CD0"/>
    <w:rsid w:val="00992C45"/>
    <w:rsid w:val="009934C0"/>
    <w:rsid w:val="00995C22"/>
    <w:rsid w:val="00996283"/>
    <w:rsid w:val="009A078D"/>
    <w:rsid w:val="009A08F6"/>
    <w:rsid w:val="009A4D6E"/>
    <w:rsid w:val="009A788D"/>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74E"/>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5619"/>
    <w:rsid w:val="00A86EE1"/>
    <w:rsid w:val="00A879C1"/>
    <w:rsid w:val="00AA1890"/>
    <w:rsid w:val="00AA3165"/>
    <w:rsid w:val="00AA64AC"/>
    <w:rsid w:val="00AB30DA"/>
    <w:rsid w:val="00AB364D"/>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097"/>
    <w:rsid w:val="00B54900"/>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477"/>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3FFC"/>
    <w:rsid w:val="00D343A0"/>
    <w:rsid w:val="00D34C6B"/>
    <w:rsid w:val="00D34E8E"/>
    <w:rsid w:val="00D354FF"/>
    <w:rsid w:val="00D35A22"/>
    <w:rsid w:val="00D37796"/>
    <w:rsid w:val="00D37E2D"/>
    <w:rsid w:val="00D40D2C"/>
    <w:rsid w:val="00D44ABB"/>
    <w:rsid w:val="00D46057"/>
    <w:rsid w:val="00D5163C"/>
    <w:rsid w:val="00D532D8"/>
    <w:rsid w:val="00D5399A"/>
    <w:rsid w:val="00D570CB"/>
    <w:rsid w:val="00D609A0"/>
    <w:rsid w:val="00D60F47"/>
    <w:rsid w:val="00D6448A"/>
    <w:rsid w:val="00D66FB6"/>
    <w:rsid w:val="00D700B0"/>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275D9"/>
    <w:rsid w:val="00E31D2B"/>
    <w:rsid w:val="00E33217"/>
    <w:rsid w:val="00E422C2"/>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63D5"/>
    <w:rsid w:val="00EA72B0"/>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629BE"/>
    <w:rsid w:val="00F7085F"/>
    <w:rsid w:val="00F7163D"/>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4AE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CB2E0-C589-4B78-9BB9-423C6AB3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1967</Words>
  <Characters>10819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2019-02-05T23:05:00Z</cp:lastPrinted>
  <dcterms:created xsi:type="dcterms:W3CDTF">2019-02-27T22:58:00Z</dcterms:created>
  <dcterms:modified xsi:type="dcterms:W3CDTF">2019-02-27T22:58:00Z</dcterms:modified>
</cp:coreProperties>
</file>